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D4240C" w:rsidRDefault="00454AE0" w:rsidP="00454AE0">
      <w:pPr>
        <w:shd w:val="clear" w:color="auto" w:fill="FFFFFF"/>
        <w:jc w:val="center"/>
        <w:rPr>
          <w:rFonts w:ascii="Segoe UI Semibold"/>
          <w:sz w:val="24"/>
        </w:rPr>
      </w:pPr>
      <w:r w:rsidRPr="00454AE0">
        <w:rPr>
          <w:rFonts w:ascii="Segoe UI Semibold"/>
          <w:sz w:val="24"/>
        </w:rPr>
        <w:t>Emerging Trends and Challenges in Network Security and Telecommunication</w:t>
      </w:r>
    </w:p>
    <w:p w:rsidR="00454AE0" w:rsidRDefault="00454AE0" w:rsidP="00454AE0">
      <w:pPr>
        <w:shd w:val="clear" w:color="auto" w:fill="FFFFFF"/>
        <w:jc w:val="center"/>
        <w:rPr>
          <w:rFonts w:ascii="Segoe UI Semibold"/>
          <w:sz w:val="24"/>
        </w:rPr>
      </w:pPr>
    </w:p>
    <w:p w:rsidR="00A04F64" w:rsidRDefault="00BF4DDF">
      <w:pPr>
        <w:pStyle w:val="Heading3"/>
        <w:spacing w:before="4"/>
        <w:rPr>
          <w:color w:val="FF6600"/>
        </w:rPr>
      </w:pPr>
      <w:r>
        <w:rPr>
          <w:color w:val="FF6600"/>
        </w:rPr>
        <w:t>SESSION ORGANIZERS:</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tblGrid>
      <w:tr w:rsidR="003375D5" w:rsidTr="00920DCE">
        <w:trPr>
          <w:jc w:val="center"/>
        </w:trPr>
        <w:tc>
          <w:tcPr>
            <w:tcW w:w="2690" w:type="dxa"/>
          </w:tcPr>
          <w:p w:rsidR="003375D5" w:rsidRDefault="006C70C3" w:rsidP="00454AE0">
            <w:pPr>
              <w:pStyle w:val="Heading3"/>
              <w:spacing w:before="4"/>
              <w:ind w:left="0"/>
              <w:jc w:val="center"/>
            </w:pPr>
            <w:r>
              <w:t xml:space="preserve">  </w:t>
            </w:r>
            <w:r w:rsidR="00454AE0">
              <w:rPr>
                <w:noProof/>
                <w:lang w:val="en-IN" w:eastAsia="en-IN"/>
              </w:rPr>
              <w:drawing>
                <wp:inline distT="0" distB="0" distL="0" distR="0" wp14:anchorId="68F52656" wp14:editId="1FCC9D97">
                  <wp:extent cx="1168400" cy="115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hatsApp Image 2023-03-21 at 5.35.00 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451" cy="1155156"/>
                          </a:xfrm>
                          <a:prstGeom prst="rect">
                            <a:avLst/>
                          </a:prstGeom>
                        </pic:spPr>
                      </pic:pic>
                    </a:graphicData>
                  </a:graphic>
                </wp:inline>
              </w:drawing>
            </w:r>
          </w:p>
        </w:tc>
      </w:tr>
      <w:tr w:rsidR="003375D5" w:rsidRPr="00454AE0" w:rsidTr="00920DCE">
        <w:trPr>
          <w:jc w:val="center"/>
        </w:trPr>
        <w:tc>
          <w:tcPr>
            <w:tcW w:w="2690" w:type="dxa"/>
          </w:tcPr>
          <w:p w:rsidR="00454AE0" w:rsidRPr="00454AE0" w:rsidRDefault="00454AE0" w:rsidP="00454AE0">
            <w:pPr>
              <w:pStyle w:val="NormalWeb"/>
              <w:shd w:val="clear" w:color="auto" w:fill="FFFFFF"/>
              <w:spacing w:before="0" w:beforeAutospacing="0" w:after="0" w:afterAutospacing="0"/>
              <w:jc w:val="center"/>
              <w:rPr>
                <w:rFonts w:cs="Arial"/>
                <w:b/>
                <w:sz w:val="18"/>
                <w:szCs w:val="18"/>
              </w:rPr>
            </w:pPr>
            <w:proofErr w:type="spellStart"/>
            <w:r w:rsidRPr="00454AE0">
              <w:rPr>
                <w:rFonts w:cs="Arial"/>
                <w:b/>
                <w:sz w:val="18"/>
                <w:szCs w:val="18"/>
              </w:rPr>
              <w:t>Dr.</w:t>
            </w:r>
            <w:proofErr w:type="spellEnd"/>
            <w:r w:rsidRPr="00454AE0">
              <w:rPr>
                <w:rFonts w:cs="Arial"/>
                <w:b/>
                <w:sz w:val="18"/>
                <w:szCs w:val="18"/>
              </w:rPr>
              <w:t xml:space="preserve"> </w:t>
            </w:r>
            <w:proofErr w:type="spellStart"/>
            <w:r w:rsidRPr="00454AE0">
              <w:rPr>
                <w:rFonts w:cs="Arial"/>
                <w:b/>
                <w:sz w:val="18"/>
                <w:szCs w:val="18"/>
              </w:rPr>
              <w:t>Gagan</w:t>
            </w:r>
            <w:proofErr w:type="spellEnd"/>
            <w:r w:rsidRPr="00454AE0">
              <w:rPr>
                <w:rFonts w:cs="Arial"/>
                <w:b/>
                <w:sz w:val="18"/>
                <w:szCs w:val="18"/>
              </w:rPr>
              <w:t xml:space="preserve"> </w:t>
            </w:r>
            <w:proofErr w:type="spellStart"/>
            <w:r w:rsidRPr="00454AE0">
              <w:rPr>
                <w:rFonts w:cs="Arial"/>
                <w:b/>
                <w:sz w:val="18"/>
                <w:szCs w:val="18"/>
              </w:rPr>
              <w:t>Vishwakarma</w:t>
            </w:r>
            <w:proofErr w:type="spellEnd"/>
          </w:p>
          <w:p w:rsidR="00454AE0" w:rsidRPr="00454AE0" w:rsidRDefault="00454AE0" w:rsidP="00454AE0">
            <w:pPr>
              <w:pStyle w:val="NormalWeb"/>
              <w:shd w:val="clear" w:color="auto" w:fill="FFFFFF"/>
              <w:spacing w:before="0" w:beforeAutospacing="0" w:after="0" w:afterAutospacing="0"/>
              <w:jc w:val="center"/>
              <w:rPr>
                <w:rFonts w:cs="Arial"/>
                <w:b/>
                <w:sz w:val="18"/>
                <w:szCs w:val="18"/>
              </w:rPr>
            </w:pPr>
            <w:r w:rsidRPr="00454AE0">
              <w:rPr>
                <w:rFonts w:cs="Arial"/>
                <w:b/>
                <w:sz w:val="18"/>
                <w:szCs w:val="18"/>
              </w:rPr>
              <w:t>Assistant Professor</w:t>
            </w:r>
          </w:p>
          <w:p w:rsidR="00454AE0" w:rsidRPr="00454AE0" w:rsidRDefault="00454AE0" w:rsidP="00454AE0">
            <w:pPr>
              <w:pStyle w:val="NormalWeb"/>
              <w:shd w:val="clear" w:color="auto" w:fill="FFFFFF"/>
              <w:spacing w:before="0" w:beforeAutospacing="0" w:after="0" w:afterAutospacing="0"/>
              <w:jc w:val="center"/>
              <w:rPr>
                <w:rFonts w:cs="Arial"/>
                <w:b/>
                <w:sz w:val="18"/>
                <w:szCs w:val="18"/>
              </w:rPr>
            </w:pPr>
            <w:r>
              <w:rPr>
                <w:rFonts w:cs="Arial"/>
                <w:b/>
                <w:sz w:val="18"/>
                <w:szCs w:val="18"/>
              </w:rPr>
              <w:t>Department o</w:t>
            </w:r>
            <w:r w:rsidRPr="00454AE0">
              <w:rPr>
                <w:rFonts w:cs="Arial"/>
                <w:b/>
                <w:sz w:val="18"/>
                <w:szCs w:val="18"/>
              </w:rPr>
              <w:t xml:space="preserve">f Computer </w:t>
            </w:r>
            <w:r>
              <w:rPr>
                <w:rFonts w:cs="Arial"/>
                <w:b/>
                <w:sz w:val="18"/>
                <w:szCs w:val="18"/>
              </w:rPr>
              <w:t xml:space="preserve">                   </w:t>
            </w:r>
            <w:r w:rsidRPr="00454AE0">
              <w:rPr>
                <w:rFonts w:cs="Arial"/>
                <w:b/>
                <w:sz w:val="18"/>
                <w:szCs w:val="18"/>
              </w:rPr>
              <w:t>Science and Engineering</w:t>
            </w:r>
            <w:r>
              <w:rPr>
                <w:rFonts w:cs="Arial"/>
                <w:b/>
                <w:sz w:val="18"/>
                <w:szCs w:val="18"/>
              </w:rPr>
              <w:t xml:space="preserve">, </w:t>
            </w:r>
            <w:r w:rsidRPr="00454AE0">
              <w:rPr>
                <w:rFonts w:cs="Arial"/>
                <w:b/>
                <w:sz w:val="18"/>
                <w:szCs w:val="18"/>
              </w:rPr>
              <w:t>Indian Institute of Information Technology, Bhopal, Madhya Pradesh, India</w:t>
            </w:r>
          </w:p>
          <w:p w:rsidR="00454AE0" w:rsidRPr="00454AE0" w:rsidRDefault="00454AE0" w:rsidP="00454AE0">
            <w:pPr>
              <w:pStyle w:val="NormalWeb"/>
              <w:shd w:val="clear" w:color="auto" w:fill="FFFFFF"/>
              <w:spacing w:before="0" w:beforeAutospacing="0" w:after="0" w:afterAutospacing="0"/>
              <w:rPr>
                <w:rFonts w:cs="Arial"/>
                <w:b/>
                <w:sz w:val="18"/>
                <w:szCs w:val="18"/>
              </w:rPr>
            </w:pPr>
            <w:r>
              <w:rPr>
                <w:rFonts w:cs="Arial"/>
                <w:b/>
                <w:sz w:val="18"/>
                <w:szCs w:val="18"/>
              </w:rPr>
              <w:t xml:space="preserve">   </w:t>
            </w:r>
            <w:hyperlink r:id="rId10" w:tgtFrame="_blank" w:history="1">
              <w:r w:rsidRPr="00454AE0">
                <w:rPr>
                  <w:rFonts w:cs="Arial"/>
                  <w:b/>
                  <w:sz w:val="18"/>
                  <w:szCs w:val="18"/>
                </w:rPr>
                <w:t>gagan.manit2020@gmail.com</w:t>
              </w:r>
            </w:hyperlink>
          </w:p>
          <w:p w:rsidR="003375D5" w:rsidRPr="00454AE0" w:rsidRDefault="003375D5" w:rsidP="00454AE0">
            <w:pPr>
              <w:pStyle w:val="Heading3"/>
              <w:spacing w:before="4"/>
              <w:ind w:left="0"/>
              <w:jc w:val="center"/>
              <w:rPr>
                <w:rFonts w:ascii="Times New Roman" w:eastAsia="Times New Roman" w:hAnsi="Times New Roman" w:cs="Arial"/>
                <w:bCs w:val="0"/>
                <w:sz w:val="18"/>
                <w:szCs w:val="18"/>
                <w:lang w:val="en-IN" w:eastAsia="en-IN"/>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D4240C" w:rsidRDefault="00454AE0" w:rsidP="00454AE0">
      <w:pPr>
        <w:shd w:val="clear" w:color="auto" w:fill="FFFFFF"/>
      </w:pPr>
      <w:r w:rsidRPr="00454AE0">
        <w:rPr>
          <w:rFonts w:cs="Arial"/>
          <w:sz w:val="18"/>
          <w:szCs w:val="18"/>
        </w:rPr>
        <w:t>The rapid growth of interconnected networks and the increasing reliance on telecommunication technologies have significantly amplified the importance of network security. This special session will provide a platform for researchers and professionals to share their innovative research, exchange ideas, and foster collaborations in addressing the evolving security challenges in telecommunication networks.</w:t>
      </w:r>
    </w:p>
    <w:p w:rsidR="00D4240C" w:rsidRDefault="00D4240C">
      <w:pPr>
        <w:pStyle w:val="BodyText"/>
        <w:spacing w:before="0"/>
        <w:ind w:left="100" w:right="99" w:firstLine="0"/>
        <w:jc w:val="both"/>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454AE0" w:rsidRDefault="00454AE0" w:rsidP="00920DCE">
      <w:pPr>
        <w:pStyle w:val="ListParagraph"/>
        <w:numPr>
          <w:ilvl w:val="0"/>
          <w:numId w:val="8"/>
        </w:numPr>
        <w:rPr>
          <w:sz w:val="18"/>
        </w:rPr>
      </w:pPr>
      <w:r w:rsidRPr="00454AE0">
        <w:rPr>
          <w:sz w:val="18"/>
        </w:rPr>
        <w:lastRenderedPageBreak/>
        <w:t>Threat Detection and Prevention in Telecommunication Networks</w:t>
      </w:r>
    </w:p>
    <w:p w:rsidR="00454AE0" w:rsidRPr="00454AE0" w:rsidRDefault="00454AE0" w:rsidP="00920DCE">
      <w:pPr>
        <w:pStyle w:val="ListParagraph"/>
        <w:numPr>
          <w:ilvl w:val="0"/>
          <w:numId w:val="8"/>
        </w:numPr>
        <w:rPr>
          <w:sz w:val="18"/>
        </w:rPr>
      </w:pPr>
      <w:r w:rsidRPr="00454AE0">
        <w:rPr>
          <w:sz w:val="18"/>
        </w:rPr>
        <w:t>Secure Communication Protocols</w:t>
      </w:r>
    </w:p>
    <w:p w:rsidR="00454AE0" w:rsidRPr="00454AE0" w:rsidRDefault="00454AE0" w:rsidP="00920DCE">
      <w:pPr>
        <w:pStyle w:val="ListParagraph"/>
        <w:numPr>
          <w:ilvl w:val="0"/>
          <w:numId w:val="8"/>
        </w:numPr>
        <w:rPr>
          <w:sz w:val="18"/>
        </w:rPr>
      </w:pPr>
      <w:r w:rsidRPr="00454AE0">
        <w:rPr>
          <w:sz w:val="18"/>
        </w:rPr>
        <w:t>Network Traffic Analysis and Forensics</w:t>
      </w:r>
    </w:p>
    <w:p w:rsidR="00454AE0" w:rsidRPr="00454AE0" w:rsidRDefault="00454AE0" w:rsidP="00920DCE">
      <w:pPr>
        <w:pStyle w:val="ListParagraph"/>
        <w:numPr>
          <w:ilvl w:val="0"/>
          <w:numId w:val="8"/>
        </w:numPr>
        <w:rPr>
          <w:sz w:val="18"/>
        </w:rPr>
      </w:pPr>
      <w:r w:rsidRPr="00454AE0">
        <w:rPr>
          <w:sz w:val="18"/>
        </w:rPr>
        <w:t> Privacy and Confidentiality in Telecommunication Networks</w:t>
      </w:r>
    </w:p>
    <w:p w:rsidR="00454AE0" w:rsidRPr="00454AE0" w:rsidRDefault="00454AE0" w:rsidP="00920DCE">
      <w:pPr>
        <w:pStyle w:val="ListParagraph"/>
        <w:numPr>
          <w:ilvl w:val="0"/>
          <w:numId w:val="8"/>
        </w:numPr>
        <w:rPr>
          <w:sz w:val="18"/>
        </w:rPr>
      </w:pPr>
      <w:r w:rsidRPr="00454AE0">
        <w:rPr>
          <w:sz w:val="18"/>
        </w:rPr>
        <w:t>Wireless Network Security</w:t>
      </w:r>
    </w:p>
    <w:p w:rsidR="00454AE0" w:rsidRPr="00454AE0" w:rsidRDefault="00454AE0" w:rsidP="00920DCE">
      <w:pPr>
        <w:pStyle w:val="ListParagraph"/>
        <w:numPr>
          <w:ilvl w:val="0"/>
          <w:numId w:val="8"/>
        </w:numPr>
        <w:rPr>
          <w:sz w:val="18"/>
        </w:rPr>
      </w:pPr>
      <w:r w:rsidRPr="00454AE0">
        <w:rPr>
          <w:sz w:val="18"/>
        </w:rPr>
        <w:t>Internet of Things (</w:t>
      </w:r>
      <w:proofErr w:type="spellStart"/>
      <w:r w:rsidRPr="00454AE0">
        <w:rPr>
          <w:sz w:val="18"/>
        </w:rPr>
        <w:t>IoT</w:t>
      </w:r>
      <w:proofErr w:type="spellEnd"/>
      <w:r w:rsidRPr="00454AE0">
        <w:rPr>
          <w:sz w:val="18"/>
        </w:rPr>
        <w:t>) Security in Telecommunication</w:t>
      </w:r>
    </w:p>
    <w:p w:rsidR="00454AE0" w:rsidRPr="00454AE0" w:rsidRDefault="00454AE0" w:rsidP="00920DCE">
      <w:pPr>
        <w:pStyle w:val="ListParagraph"/>
        <w:numPr>
          <w:ilvl w:val="0"/>
          <w:numId w:val="8"/>
        </w:numPr>
        <w:rPr>
          <w:sz w:val="18"/>
        </w:rPr>
      </w:pPr>
      <w:r w:rsidRPr="00454AE0">
        <w:rPr>
          <w:sz w:val="18"/>
        </w:rPr>
        <w:t>5G and Beyond Security</w:t>
      </w:r>
    </w:p>
    <w:p w:rsidR="00454AE0" w:rsidRDefault="00454AE0" w:rsidP="00920DCE">
      <w:pPr>
        <w:pStyle w:val="ListParagraph"/>
        <w:numPr>
          <w:ilvl w:val="0"/>
          <w:numId w:val="8"/>
        </w:numPr>
        <w:rPr>
          <w:sz w:val="18"/>
        </w:rPr>
      </w:pPr>
      <w:r w:rsidRPr="00454AE0">
        <w:rPr>
          <w:sz w:val="18"/>
        </w:rPr>
        <w:t>Network Resilience and Disaster Recovery</w:t>
      </w:r>
    </w:p>
    <w:p w:rsidR="006323FB" w:rsidRDefault="006323FB" w:rsidP="00920DCE">
      <w:pPr>
        <w:pStyle w:val="ListParagraph"/>
        <w:tabs>
          <w:tab w:val="left" w:pos="820"/>
          <w:tab w:val="left" w:pos="821"/>
        </w:tabs>
        <w:spacing w:before="0" w:line="227" w:lineRule="exact"/>
        <w:ind w:firstLine="0"/>
        <w:rPr>
          <w:sz w:val="18"/>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454AE0" w:rsidRPr="00454AE0">
        <w:rPr>
          <w:rFonts w:asciiTheme="majorHAnsi" w:hAnsiTheme="majorHAnsi"/>
          <w:b/>
          <w:color w:val="000000" w:themeColor="text1"/>
          <w:sz w:val="20"/>
          <w:szCs w:val="20"/>
        </w:rPr>
        <w:t>Emerging Trends and Challenges in Network Security and Telecommunication</w:t>
      </w:r>
      <w:bookmarkStart w:id="3" w:name="_GoBack"/>
      <w:bookmarkEnd w:id="3"/>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54AE0"/>
    <w:rsid w:val="00460E6E"/>
    <w:rsid w:val="00473AAD"/>
    <w:rsid w:val="00525E97"/>
    <w:rsid w:val="005B6F40"/>
    <w:rsid w:val="006323FB"/>
    <w:rsid w:val="006C70C3"/>
    <w:rsid w:val="00706C88"/>
    <w:rsid w:val="008B37F1"/>
    <w:rsid w:val="00920DCE"/>
    <w:rsid w:val="00A04F64"/>
    <w:rsid w:val="00A539B6"/>
    <w:rsid w:val="00A872A1"/>
    <w:rsid w:val="00B54E0C"/>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semiHidden/>
    <w:unhideWhenUsed/>
    <w:rsid w:val="00454AE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semiHidden/>
    <w:unhideWhenUsed/>
    <w:rsid w:val="00454AE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hyperlink" Target="mailto:gagan.manit2020@gmail.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2023-06-14T20:27:00Z</dcterms:created>
  <dcterms:modified xsi:type="dcterms:W3CDTF">2023-06-14T20:37:00Z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